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bidi w:val="0"/>
        <w:jc w:val="center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高校智慧校园建设评价指标体系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val="en-US" w:eastAsia="zh-CN"/>
        </w:rPr>
        <w:t>教务处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）</w:t>
      </w:r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28"/>
        <w:gridCol w:w="1508"/>
        <w:gridCol w:w="7665"/>
        <w:gridCol w:w="1014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34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一级指标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二级指标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三级指标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  <w:t>评价标准与主要观测点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总分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自评分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治理体系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信息素养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师生信息素养培训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left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面向全校师生，通过校内网络媒体，开展信息化应用、理念及安全等信息素养培训宣传，每年不少于20篇（次）。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智慧环境</w:t>
            </w:r>
          </w:p>
        </w:tc>
        <w:tc>
          <w:tcPr>
            <w:tcW w:w="1328" w:type="dxa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教学设施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多媒体教室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多媒体教室的比例达到100%。多媒体教室至少配备设备中央控制系统、投影仪、计算机或云桌面终端、自动幕布或电子屏。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智慧教室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教室的比例≥15%。智慧教室在多媒体教室的基础上，整合前沿科学技术，通过智能终端、控制设备、软件工具、优质资源等应用与课堂教学的深度融合，实现课堂管理、教学互动、数据采集、教学评价、资源获取、智能录播、跨域拓展、环境感知等功能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学习共享空间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学习共享空间是学生自主学习、小组研讨、学术沙龙、师生互动交流的场所，配备终端、大屏、音响等设施。学习共享空间配比（师生数与学习空间数）不小于2000:1。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虚拟仿真实验实训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建有虚拟仿真实验教学中心、虚实融合实验室、信息化实验实践场所等教学空间和环境。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智慧教育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智慧教学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教学平台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建有统一的网络教学平台（PC端、移动端）和师生空间，有效支撑课堂教学、网络教研、在线学习、在线考试、质量评价等教学活动。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资源应用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学校资源建设具有统一规划、统一部署、统筹建设的机制与平台，实现资源便捷搜索、服务按需推送等有效应用。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国家或省级在线开放课程、线上线下混合课程、虚拟仿真项目、资源公开课、视频公开课、行业资源库等不少于学校开设课程总数的1%。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自建网络课程、慕课课程、spoc课程、系列微课等数字化课程资源占全校总课程的30%以上。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color w:val="auto"/>
                <w:sz w:val="24"/>
                <w:szCs w:val="24"/>
              </w:rPr>
              <w:t>建有覆盖学校专业学科的电子期刊、电子图书、网络数据库等电子文献资源。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kern w:val="0"/>
                <w:sz w:val="24"/>
                <w:szCs w:val="24"/>
              </w:rPr>
              <w:t>建有一定规模、形式多样的专题知识库、课程试题库等学科专业特色资源，数量不少于二级学科总数的15%。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课堂教学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以学生为中心，应用信息技术探索教与学方法，改革创新课堂教学模式。制定考核、评价和激励机制，促进技术与课堂教学有效深度融合。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通过智慧化课堂学习环境，实现课前、课中、课后等环节线上线下的教学创新。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开展“同时异地”课堂教学，实现多教室、跨校区的优质教学资源共享。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10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实践教学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开展虚拟仿真、虚实融合、远程交互等智慧实践教学，实践教学信息化项目数不少于实践课程数的15%，实验实训设施管理实现综合查询、服务预约、绩效分析等功能。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25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教学质量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具有实时、准确、完整的教学过程信息采集机制，通过信息采集、数据分析、质量预警等功能，建立专业、课程、学生成长、教师发展等教学工作诊断与改进管理平台，运用平台实现常态化教学管理、质量监控和精准教学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30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28" w:type="dxa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智慧科研</w:t>
            </w:r>
          </w:p>
        </w:tc>
        <w:tc>
          <w:tcPr>
            <w:tcW w:w="150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both"/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仪器设备共享</w:t>
            </w:r>
          </w:p>
        </w:tc>
        <w:tc>
          <w:tcPr>
            <w:tcW w:w="7665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建有大型仪器设备共享服务平台，提供预约、共享、数据查询统计等服务。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343" w:type="dxa"/>
            <w:vMerge w:val="restart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特色与创新</w:t>
            </w: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技术应用创新</w:t>
            </w:r>
          </w:p>
        </w:tc>
        <w:tc>
          <w:tcPr>
            <w:tcW w:w="9173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信息技术与校务治理、教育教学、师生服务、产业创新等业务深度融合的创新应用。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343" w:type="dxa"/>
            <w:vMerge w:val="continue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Theme="majorEastAsia" w:hAnsiTheme="majorEastAsia" w:eastAsiaTheme="majorEastAsia" w:cstheme="maj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328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体制机制创新</w:t>
            </w:r>
          </w:p>
        </w:tc>
        <w:tc>
          <w:tcPr>
            <w:tcW w:w="9173" w:type="dxa"/>
            <w:gridSpan w:val="2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信息化建设模式、建设机制、管理体制等创新举措及突出成效。</w:t>
            </w:r>
          </w:p>
        </w:tc>
        <w:tc>
          <w:tcPr>
            <w:tcW w:w="1014" w:type="dxa"/>
            <w:vAlign w:val="center"/>
          </w:tcPr>
          <w:p>
            <w:pPr>
              <w:snapToGrid w:val="0"/>
              <w:spacing w:line="300" w:lineRule="auto"/>
              <w:ind w:left="0" w:leftChars="0" w:firstLine="0" w:firstLineChars="0"/>
              <w:jc w:val="center"/>
              <w:rPr>
                <w:rFonts w:hint="eastAsia" w:asciiTheme="majorEastAsia" w:hAnsiTheme="majorEastAsia" w:eastAsiaTheme="majorEastAsia" w:cstheme="maj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Cs/>
                <w:sz w:val="24"/>
                <w:szCs w:val="24"/>
              </w:rPr>
              <w:t>50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11B1"/>
    <w:multiLevelType w:val="multilevel"/>
    <w:tmpl w:val="16EC11B1"/>
    <w:lvl w:ilvl="0" w:tentative="0">
      <w:start w:val="1"/>
      <w:numFmt w:val="decimal"/>
      <w:pStyle w:val="4"/>
      <w:lvlText w:val="%1."/>
      <w:lvlJc w:val="left"/>
      <w:pPr>
        <w:ind w:left="420" w:hanging="420"/>
      </w:pPr>
    </w:lvl>
    <w:lvl w:ilvl="1" w:tentative="0">
      <w:start w:val="3"/>
      <w:numFmt w:val="decimal"/>
      <w:isLgl/>
      <w:lvlText w:val="%1.%2"/>
      <w:lvlJc w:val="left"/>
      <w:pPr>
        <w:ind w:left="1190" w:hanging="63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750" w:hanging="63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310" w:hanging="63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870" w:hanging="63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430" w:hanging="63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90" w:hanging="63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550" w:hanging="63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5110" w:hanging="63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6B4832"/>
    <w:rsid w:val="7789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560" w:firstLineChars="200"/>
      <w:jc w:val="both"/>
    </w:pPr>
    <w:rPr>
      <w:rFonts w:ascii="仿宋" w:hAnsi="仿宋" w:eastAsia="仿宋" w:cs="Times New Roman"/>
      <w:kern w:val="2"/>
      <w:sz w:val="28"/>
      <w:szCs w:val="28"/>
      <w:lang w:val="zh-CN" w:eastAsia="zh-CN" w:bidi="ar-SA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0"/>
        <w:numId w:val="1"/>
      </w:numPr>
      <w:spacing w:before="100" w:beforeAutospacing="1" w:after="100" w:afterAutospacing="1"/>
      <w:outlineLvl w:val="2"/>
    </w:pPr>
    <w:rPr>
      <w:rFonts w:ascii="黑体" w:hAnsi="黑体" w:eastAsia="黑体" w:cs="Times New Roman"/>
      <w:bCs/>
      <w:kern w:val="2"/>
      <w:sz w:val="24"/>
      <w:szCs w:val="32"/>
      <w:lang w:val="zh-CN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3"/>
    <w:qFormat/>
    <w:uiPriority w:val="0"/>
    <w:pPr>
      <w:spacing w:line="240" w:lineRule="atLeast"/>
      <w:ind w:left="420" w:firstLine="420"/>
    </w:pPr>
    <w:rPr>
      <w:szCs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2020-05-28T03:37:00Z</dcterms:created>
  <dc:creator>Administrator</dc:creator>
  <cp:lastModifiedBy>Scar</cp:lastModifiedBy>
  <dcterms:modified xsi:type="dcterms:W3CDTF">2020-05-28T03:42:33Z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