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高校智慧校园建设评价指标体系</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现代教育技术中心</w:t>
      </w:r>
      <w:r>
        <w:rPr>
          <w:rFonts w:hint="eastAsia" w:asciiTheme="majorEastAsia" w:hAnsiTheme="majorEastAsia" w:eastAsiaTheme="majorEastAsia" w:cstheme="majorEastAsia"/>
          <w:b/>
          <w:bCs/>
          <w:sz w:val="36"/>
          <w:szCs w:val="36"/>
          <w:lang w:eastAsia="zh-CN"/>
        </w:rPr>
        <w:t>）</w:t>
      </w:r>
    </w:p>
    <w:tbl>
      <w:tblPr>
        <w:tblStyle w:val="5"/>
        <w:tblpPr w:leftFromText="180" w:rightFromText="180" w:vertAnchor="text" w:horzAnchor="page" w:tblpX="1442" w:tblpY="6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296"/>
        <w:gridCol w:w="1761"/>
        <w:gridCol w:w="7187"/>
        <w:gridCol w:w="82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10"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一级指标</w:t>
            </w:r>
          </w:p>
        </w:tc>
        <w:tc>
          <w:tcPr>
            <w:tcW w:w="129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二级指标</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三级指标</w:t>
            </w:r>
          </w:p>
        </w:tc>
        <w:tc>
          <w:tcPr>
            <w:tcW w:w="7187" w:type="dxa"/>
            <w:vAlign w:val="center"/>
          </w:tcPr>
          <w:p>
            <w:pPr>
              <w:snapToGrid w:val="0"/>
              <w:spacing w:line="300" w:lineRule="auto"/>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评价标准与主要观测点</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lang w:val="en-US" w:eastAsia="zh-CN"/>
              </w:rPr>
              <w:t>总分</w:t>
            </w:r>
          </w:p>
        </w:tc>
        <w:tc>
          <w:tcPr>
            <w:tcW w:w="1159"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bCs/>
                <w:sz w:val="24"/>
                <w:szCs w:val="24"/>
              </w:rPr>
              <w:t>治理体系</w:t>
            </w: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领导力</w:t>
            </w: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领导机构</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成立学校主要领导为组长的网络安全和信息化建设领导小组，领导小组办公室设在信息化职能管理机构，信息化建设职能分工明确。</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sz w:val="24"/>
                <w:szCs w:val="24"/>
                <w:vertAlign w:val="baseline"/>
                <w:lang w:val="en-US" w:eastAsia="zh-CN"/>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施行由校领导担任首席信息官（CIO）的制度，统筹本校信息化的规划与发展。</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顶层设计</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发布阶段性的信息化建设规划及行动计划，作为学校信息化服务建设的行动纲领。</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sz w:val="24"/>
                <w:szCs w:val="24"/>
                <w:vertAlign w:val="baseline"/>
                <w:lang w:val="en-US" w:eastAsia="zh-CN"/>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制定全校信息化建设年度工作计划，强化推进的整体性与协同性，</w:t>
            </w:r>
          </w:p>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二级单位或部门的信息化工作纳入学校年度考核评价。</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规章制度</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制定各类信息化应用建设的数据标准和技术规范。</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sz w:val="24"/>
                <w:szCs w:val="24"/>
                <w:vertAlign w:val="baseline"/>
                <w:lang w:val="en-US" w:eastAsia="zh-CN"/>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制定完善的信息化项目建设、服务运营、网络信息安全等规章制度及管理办法。</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智库建设</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成立由校内外信息化专家组成的专家委员会，开展建设规划和重大工程的咨询。</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执行力</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专职技术部门</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有独立设置的技术部门，负责智慧校园建设工作。</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rPr>
            </w:pP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运维体系</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设立信息化服务咨询的电话一号通。</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提供到桌面级的故障处理。</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构建信息化服务综合管理平台，实现网络服务、信息化应用的可视化系统监控。</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Align w:val="center"/>
          </w:tcPr>
          <w:p>
            <w:pPr>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信息素养</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信息化领导力培训</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面向校领导、学院、系所及管理部门的负责人，开展信息化应用或信息技术专家讲座，每年至少1次。</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restart"/>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智慧环境</w:t>
            </w:r>
          </w:p>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基础网络</w:t>
            </w: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通信网络</w:t>
            </w:r>
          </w:p>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实现校园有线网络和无线网络全覆盖。</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校园网骨干带宽10G以上，万兆到楼宇，千兆（百兆）到桌面。</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全网支持IPv6，校园网接入中国教育和科研计算机网。</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专用网络</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根据不同业务需求，设置逻辑子网或物理专网。</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数据中心</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云服务模式</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采用云计算技术架构，统一提供服务器、存储等计算资源和操作系统、数据库等系统软件。具有在线申请、统一分配、动态管理、无缝扩容等功能。</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计算和存储能力</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及时支撑全校信息化发展需求，且有20%以上冗余。</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云应用能力</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具备支撑云桌面、云盘、云数据备份等云应用的能力。</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both"/>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基础平台</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统一身份认证</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构建全局唯一的校园电子身份，实现自适应、多终端（Windows、iOS、Android）、多平台、多形式（用户名密码、手机短信、二维码、人脸识别）的统一身份认证。</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信息门户</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集成校园信息化应用展现及系统漫游，兼容多种浏览器，实现师生个性化信息服务。</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数据交换中心</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建立可视化数据交互平台和数据治理中心，按需实现校园信息系统之间同构与异构、结构化与非结构化的数据交换与应用。</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流程平台</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具有学校统一的业务流程管理公共平台，流程的定义、调度等功能实现集中管理。</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restart"/>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智慧教育</w:t>
            </w:r>
          </w:p>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both"/>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智慧管理</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大数据管理决策</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开展大数据挖掘，为人才培养、科学研究、校务治理、社会服务等提供综合性、多维度的数据分析、趋势判断和精准决策支持。</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30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校园管理</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开展人工智能、物联网、智能机器人等前沿技术在校园管理和服务中的创新应用。</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30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both"/>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智慧服务</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网上办事</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构建网上办事大厅，推动学校“最多跑一次”管理改革，公开业务部门的“责任清单、审批清单和服务清单”，校园办事“最多跑一次”实现率≥85%。</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30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大数据师生服务</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依托数据交换中心，构建师生成长档案，实现“一人一表”，提供综合数据查询和自动填表服务，推进“最多填一次”工程，避免或减少不同管理部门的重复填表。</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30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校园自助服务</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基于服务终端，提供打印、缴费、查询等自助服务。</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移动服务</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开展校园事务办理、信息查询、生活服务等移动化应用，由统一平台提供移动服务，校园移动服务实现率≥85%。</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20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bCs/>
                <w:sz w:val="24"/>
                <w:szCs w:val="24"/>
              </w:rPr>
              <w:t>网络空间安全</w:t>
            </w: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基础网络安</w:t>
            </w: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管理措施</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制定体系化的网络与信息安全管理制度及网络与信息安全突发事件应急预案。</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按照《信息安全等级保护管理办法》，开展网络与信息系统的定级与测评工作。</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机房环境</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符合《电子计算机场地通用规范GB/T2887》和《计算机场地安全要求GB/T9361》。</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2</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配备不间断电源（≥2小时）、环境监测、视频监控、门禁管理等设施。</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3</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网络结构</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采用分层拓扑网络架构，可分层实现基于端口、网段及协议的访问控制。</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技术措施</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网络出口有检测防护、网络入侵能及时防御、系统漏洞能适时发现、恶意代码能防范告警、上网行为能实时管理、系统日志能定期审计。</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主机与应用安全</w:t>
            </w: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主机安全</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配置主机安全策略，根据不同系统权限限制用户对系统资源的访问。</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部署堡垒机等系统，对主机的用户行为、系统异常、重要操作命令等情况进行审计和记录。</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应用安全</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部署Web应用防火墙，应用系统开展代码安全审计。</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具有专业的安全渗透测试与漏洞发现服务。</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内容安全</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网络舆情监控</w:t>
            </w:r>
          </w:p>
        </w:tc>
        <w:tc>
          <w:tcPr>
            <w:tcW w:w="7187" w:type="dxa"/>
            <w:vAlign w:val="center"/>
          </w:tcPr>
          <w:p>
            <w:pPr>
              <w:widowControl/>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实时监控门户网站、主要二级网站和交互式网站。</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应急响应</w:t>
            </w:r>
          </w:p>
        </w:tc>
        <w:tc>
          <w:tcPr>
            <w:tcW w:w="7187" w:type="dxa"/>
            <w:vAlign w:val="center"/>
          </w:tcPr>
          <w:p>
            <w:pPr>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及时处理各类安全预警。</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Merge w:val="continue"/>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7187" w:type="dxa"/>
            <w:vAlign w:val="center"/>
          </w:tcPr>
          <w:p>
            <w:pPr>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根据网络与信息安全应急预案，快速处理安全事件。</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restart"/>
            <w:vAlign w:val="center"/>
          </w:tcPr>
          <w:p>
            <w:pPr>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数据安全</w:t>
            </w: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操作安全</w:t>
            </w:r>
          </w:p>
        </w:tc>
        <w:tc>
          <w:tcPr>
            <w:tcW w:w="7187" w:type="dxa"/>
            <w:vAlign w:val="center"/>
          </w:tcPr>
          <w:p>
            <w:pPr>
              <w:widowControl/>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部署数据库审计系统，保证数据收集、输出过程中的安全性，保存数据操作日志。</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传输安全</w:t>
            </w:r>
          </w:p>
        </w:tc>
        <w:tc>
          <w:tcPr>
            <w:tcW w:w="7187" w:type="dxa"/>
            <w:vAlign w:val="center"/>
          </w:tcPr>
          <w:p>
            <w:pPr>
              <w:widowControl/>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部署必要的加密传输产品，保证数据在交换、传输过程中的安全性、完整性和保密性。</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存储安全</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color w:val="auto"/>
                <w:kern w:val="2"/>
                <w:sz w:val="24"/>
                <w:szCs w:val="24"/>
                <w:lang w:val="en-US" w:eastAsia="zh-CN" w:bidi="ar-SA"/>
              </w:rPr>
            </w:pPr>
            <w:r>
              <w:rPr>
                <w:rFonts w:hint="eastAsia" w:asciiTheme="majorEastAsia" w:hAnsiTheme="majorEastAsia" w:eastAsiaTheme="majorEastAsia" w:cstheme="majorEastAsia"/>
                <w:bCs/>
                <w:color w:val="auto"/>
                <w:sz w:val="24"/>
                <w:szCs w:val="24"/>
              </w:rPr>
              <w:t>具有数据备份策略和容灾备份系统，对重要数据进行实时备份。</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Merge w:val="continue"/>
            <w:vAlign w:val="center"/>
          </w:tcPr>
          <w:p>
            <w:pPr>
              <w:jc w:val="center"/>
              <w:rPr>
                <w:rFonts w:hint="eastAsia" w:asciiTheme="majorEastAsia" w:hAnsiTheme="majorEastAsia" w:eastAsiaTheme="majorEastAsia" w:cstheme="majorEastAsia"/>
                <w:bCs/>
                <w:sz w:val="24"/>
                <w:szCs w:val="24"/>
                <w:lang w:val="en-US" w:eastAsia="zh-CN"/>
              </w:rPr>
            </w:pPr>
          </w:p>
        </w:tc>
        <w:tc>
          <w:tcPr>
            <w:tcW w:w="1761"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数据保护</w:t>
            </w:r>
          </w:p>
        </w:tc>
        <w:tc>
          <w:tcPr>
            <w:tcW w:w="7187"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执行数据信息使用规范，防止学校核心数据和师生个人信息泄漏。</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10"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bCs/>
                <w:sz w:val="24"/>
                <w:szCs w:val="24"/>
              </w:rPr>
              <w:t>特色与创新</w:t>
            </w:r>
          </w:p>
        </w:tc>
        <w:tc>
          <w:tcPr>
            <w:tcW w:w="129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技术应用创新</w:t>
            </w:r>
          </w:p>
        </w:tc>
        <w:tc>
          <w:tcPr>
            <w:tcW w:w="8948" w:type="dxa"/>
            <w:gridSpan w:val="2"/>
            <w:vAlign w:val="center"/>
          </w:tcPr>
          <w:p>
            <w:pPr>
              <w:snapToGrid w:val="0"/>
              <w:spacing w:line="300" w:lineRule="auto"/>
              <w:ind w:left="0" w:leftChars="0" w:firstLine="0" w:firstLineChars="0"/>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信息技术与校务治理、教育教学、师生服务、产业创新等业务深度融合的创新应用。</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31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29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体制机制创新</w:t>
            </w:r>
          </w:p>
        </w:tc>
        <w:tc>
          <w:tcPr>
            <w:tcW w:w="8948" w:type="dxa"/>
            <w:gridSpan w:val="2"/>
            <w:vAlign w:val="center"/>
          </w:tcPr>
          <w:p>
            <w:pPr>
              <w:snapToGrid w:val="0"/>
              <w:spacing w:line="300" w:lineRule="auto"/>
              <w:ind w:left="0" w:leftChars="0" w:firstLine="0" w:firstLineChars="0"/>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信息化建设模式、建设机制、管理体制等创新举措及突出成效。</w:t>
            </w:r>
          </w:p>
        </w:tc>
        <w:tc>
          <w:tcPr>
            <w:tcW w:w="825"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50</w:t>
            </w:r>
          </w:p>
        </w:tc>
        <w:tc>
          <w:tcPr>
            <w:tcW w:w="1159"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bl>
    <w:p>
      <w:pPr>
        <w:ind w:left="0" w:leftChars="0" w:firstLine="0" w:firstLineChars="0"/>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81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 w:hAnsi="仿宋" w:eastAsia="仿宋" w:cs="Times New Roman"/>
      <w:kern w:val="2"/>
      <w:sz w:val="28"/>
      <w:szCs w:val="28"/>
      <w:lang w:val="zh-CN"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3"/>
    <w:qFormat/>
    <w:uiPriority w:val="0"/>
    <w:pPr>
      <w:spacing w:line="240" w:lineRule="atLeast"/>
      <w:ind w:left="420" w:firstLine="420"/>
    </w:pPr>
    <w:rPr>
      <w:szCs w:val="21"/>
    </w:rPr>
  </w:style>
  <w:style w:type="paragraph" w:styleId="3">
    <w:name w:val="Document Map"/>
    <w:basedOn w:val="1"/>
    <w:semiHidden/>
    <w:qFormat/>
    <w:uiPriority w:val="0"/>
    <w:pPr>
      <w:shd w:val="clear" w:color="auto" w:fill="000080"/>
    </w:p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2020-05-28T03:38:59Z</dcterms:created>
  <dc:creator>Administrator</dc:creator>
  <cp:lastModifiedBy>Scar</cp:lastModifiedBy>
  <dcterms:modified xsi:type="dcterms:W3CDTF">2020-05-28T03:39:09Z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