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b/>
          <w:bCs/>
          <w:sz w:val="36"/>
          <w:szCs w:val="36"/>
        </w:rPr>
        <w:t>高校智慧校园建设评价指标体系</w:t>
      </w:r>
      <w:r>
        <w:rPr>
          <w:rFonts w:hint="eastAsia" w:asciiTheme="majorEastAsia" w:hAnsiTheme="majorEastAsia" w:eastAsiaTheme="majorEastAsia" w:cstheme="majorEastAsia"/>
          <w:b/>
          <w:bCs/>
          <w:sz w:val="36"/>
          <w:szCs w:val="36"/>
          <w:lang w:eastAsia="zh-CN"/>
        </w:rPr>
        <w:t>（</w:t>
      </w:r>
      <w:r>
        <w:rPr>
          <w:rFonts w:hint="eastAsia" w:asciiTheme="majorEastAsia" w:hAnsiTheme="majorEastAsia" w:eastAsiaTheme="majorEastAsia" w:cstheme="majorEastAsia"/>
          <w:b/>
          <w:bCs/>
          <w:sz w:val="36"/>
          <w:szCs w:val="36"/>
          <w:lang w:val="en-US" w:eastAsia="zh-CN"/>
        </w:rPr>
        <w:t>财务处</w:t>
      </w:r>
      <w:r>
        <w:rPr>
          <w:rFonts w:hint="eastAsia" w:asciiTheme="majorEastAsia" w:hAnsiTheme="majorEastAsia" w:eastAsiaTheme="majorEastAsia" w:cstheme="majorEastAsia"/>
          <w:b/>
          <w:bCs/>
          <w:sz w:val="36"/>
          <w:szCs w:val="36"/>
          <w:lang w:eastAsia="zh-CN"/>
        </w:rPr>
        <w:t>）</w:t>
      </w:r>
    </w:p>
    <w:tbl>
      <w:tblPr>
        <w:tblStyle w:val="5"/>
        <w:tblpPr w:leftFromText="180" w:rightFromText="180" w:vertAnchor="text" w:horzAnchor="page" w:tblpX="1426" w:tblpY="59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0"/>
        <w:gridCol w:w="1536"/>
        <w:gridCol w:w="1546"/>
        <w:gridCol w:w="7555"/>
        <w:gridCol w:w="856"/>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0"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
                <w:kern w:val="2"/>
                <w:sz w:val="24"/>
                <w:szCs w:val="24"/>
                <w:lang w:val="en-US" w:eastAsia="zh-CN" w:bidi="ar-SA"/>
              </w:rPr>
            </w:pPr>
            <w:r>
              <w:rPr>
                <w:rFonts w:hint="eastAsia" w:asciiTheme="majorEastAsia" w:hAnsiTheme="majorEastAsia" w:eastAsiaTheme="majorEastAsia" w:cstheme="majorEastAsia"/>
                <w:b/>
                <w:sz w:val="24"/>
                <w:szCs w:val="24"/>
              </w:rPr>
              <w:t>一级指标</w:t>
            </w:r>
          </w:p>
        </w:tc>
        <w:tc>
          <w:tcPr>
            <w:tcW w:w="1536"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
                <w:kern w:val="2"/>
                <w:sz w:val="24"/>
                <w:szCs w:val="24"/>
                <w:lang w:val="en-US" w:eastAsia="zh-CN" w:bidi="ar-SA"/>
              </w:rPr>
            </w:pPr>
            <w:r>
              <w:rPr>
                <w:rFonts w:hint="eastAsia" w:asciiTheme="majorEastAsia" w:hAnsiTheme="majorEastAsia" w:eastAsiaTheme="majorEastAsia" w:cstheme="majorEastAsia"/>
                <w:b/>
                <w:sz w:val="24"/>
                <w:szCs w:val="24"/>
              </w:rPr>
              <w:t>二级指标</w:t>
            </w:r>
          </w:p>
        </w:tc>
        <w:tc>
          <w:tcPr>
            <w:tcW w:w="1546"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
                <w:kern w:val="2"/>
                <w:sz w:val="24"/>
                <w:szCs w:val="24"/>
                <w:lang w:val="en-US" w:eastAsia="zh-CN" w:bidi="ar-SA"/>
              </w:rPr>
            </w:pPr>
            <w:r>
              <w:rPr>
                <w:rFonts w:hint="eastAsia" w:asciiTheme="majorEastAsia" w:hAnsiTheme="majorEastAsia" w:eastAsiaTheme="majorEastAsia" w:cstheme="majorEastAsia"/>
                <w:b/>
                <w:sz w:val="24"/>
                <w:szCs w:val="24"/>
              </w:rPr>
              <w:t>三级指标</w:t>
            </w:r>
          </w:p>
        </w:tc>
        <w:tc>
          <w:tcPr>
            <w:tcW w:w="7555" w:type="dxa"/>
            <w:vAlign w:val="center"/>
          </w:tcPr>
          <w:p>
            <w:pPr>
              <w:snapToGrid w:val="0"/>
              <w:spacing w:line="300" w:lineRule="auto"/>
              <w:jc w:val="center"/>
              <w:rPr>
                <w:rFonts w:hint="eastAsia" w:asciiTheme="majorEastAsia" w:hAnsiTheme="majorEastAsia" w:eastAsiaTheme="majorEastAsia" w:cstheme="majorEastAsia"/>
                <w:b/>
                <w:kern w:val="2"/>
                <w:sz w:val="24"/>
                <w:szCs w:val="24"/>
                <w:lang w:val="en-US" w:eastAsia="zh-CN" w:bidi="ar-SA"/>
              </w:rPr>
            </w:pPr>
            <w:r>
              <w:rPr>
                <w:rFonts w:hint="eastAsia" w:asciiTheme="majorEastAsia" w:hAnsiTheme="majorEastAsia" w:eastAsiaTheme="majorEastAsia" w:cstheme="majorEastAsia"/>
                <w:b/>
                <w:sz w:val="24"/>
                <w:szCs w:val="24"/>
              </w:rPr>
              <w:t>评价标准与主要观测点</w:t>
            </w:r>
          </w:p>
        </w:tc>
        <w:tc>
          <w:tcPr>
            <w:tcW w:w="856"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
                <w:kern w:val="2"/>
                <w:sz w:val="24"/>
                <w:szCs w:val="24"/>
                <w:lang w:val="en-US" w:eastAsia="zh-CN" w:bidi="ar-SA"/>
              </w:rPr>
            </w:pPr>
            <w:r>
              <w:rPr>
                <w:rFonts w:hint="eastAsia" w:asciiTheme="majorEastAsia" w:hAnsiTheme="majorEastAsia" w:eastAsiaTheme="majorEastAsia" w:cstheme="majorEastAsia"/>
                <w:b/>
                <w:sz w:val="24"/>
                <w:szCs w:val="24"/>
                <w:lang w:val="en-US" w:eastAsia="zh-CN"/>
              </w:rPr>
              <w:t>总分</w:t>
            </w:r>
          </w:p>
        </w:tc>
        <w:tc>
          <w:tcPr>
            <w:tcW w:w="1203" w:type="dxa"/>
            <w:vAlign w:val="center"/>
          </w:tcPr>
          <w:p>
            <w:pPr>
              <w:snapToGrid w:val="0"/>
              <w:spacing w:line="300" w:lineRule="auto"/>
              <w:ind w:left="0" w:leftChars="0" w:firstLine="0" w:firstLineChars="0"/>
              <w:jc w:val="both"/>
              <w:rPr>
                <w:rFonts w:hint="eastAsia" w:asciiTheme="majorEastAsia" w:hAnsiTheme="majorEastAsia" w:eastAsiaTheme="majorEastAsia" w:cstheme="majorEastAsia"/>
                <w:b/>
                <w:sz w:val="24"/>
                <w:szCs w:val="24"/>
                <w:lang w:val="en-US" w:eastAsia="zh-CN"/>
              </w:rPr>
            </w:pPr>
            <w:r>
              <w:rPr>
                <w:rFonts w:hint="eastAsia" w:asciiTheme="majorEastAsia" w:hAnsiTheme="majorEastAsia" w:eastAsiaTheme="majorEastAsia" w:cstheme="majorEastAsia"/>
                <w:b/>
                <w:sz w:val="24"/>
                <w:szCs w:val="24"/>
                <w:lang w:val="en-US" w:eastAsia="zh-CN"/>
              </w:rPr>
              <w:t>自评分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360" w:type="dxa"/>
            <w:vMerge w:val="restart"/>
            <w:vAlign w:val="center"/>
          </w:tcPr>
          <w:p>
            <w:pPr>
              <w:ind w:left="0" w:leftChars="0" w:firstLine="0" w:firstLineChars="0"/>
              <w:jc w:val="cente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bCs/>
                <w:sz w:val="24"/>
                <w:szCs w:val="24"/>
              </w:rPr>
              <w:t>治理体系</w:t>
            </w:r>
          </w:p>
        </w:tc>
        <w:tc>
          <w:tcPr>
            <w:tcW w:w="1536" w:type="dxa"/>
            <w:vMerge w:val="restart"/>
            <w:vAlign w:val="center"/>
          </w:tcPr>
          <w:p>
            <w:pPr>
              <w:ind w:left="0" w:leftChars="0" w:firstLine="0" w:firstLineChars="0"/>
              <w:jc w:val="cente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bCs/>
                <w:sz w:val="24"/>
                <w:szCs w:val="24"/>
              </w:rPr>
              <w:t>执行力</w:t>
            </w:r>
          </w:p>
        </w:tc>
        <w:tc>
          <w:tcPr>
            <w:tcW w:w="1546" w:type="dxa"/>
            <w:vMerge w:val="restart"/>
            <w:vAlign w:val="center"/>
          </w:tcPr>
          <w:p>
            <w:pPr>
              <w:ind w:left="0" w:leftChars="0" w:firstLine="0" w:firstLineChars="0"/>
              <w:jc w:val="cente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bCs/>
                <w:sz w:val="24"/>
                <w:szCs w:val="24"/>
              </w:rPr>
              <w:t>资金保障</w:t>
            </w:r>
          </w:p>
        </w:tc>
        <w:tc>
          <w:tcPr>
            <w:tcW w:w="7555" w:type="dxa"/>
            <w:vAlign w:val="center"/>
          </w:tcPr>
          <w:p>
            <w:pPr>
              <w:snapToGrid w:val="0"/>
              <w:spacing w:line="300" w:lineRule="auto"/>
              <w:ind w:left="0" w:leftChars="0" w:firstLine="0" w:firstLineChars="0"/>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color w:val="auto"/>
                <w:sz w:val="24"/>
                <w:szCs w:val="24"/>
              </w:rPr>
              <w:t>由网络安全和信息化建设领导小组统筹预算学校信息化建设专项经费和日常运维经费。</w:t>
            </w:r>
          </w:p>
        </w:tc>
        <w:tc>
          <w:tcPr>
            <w:tcW w:w="856"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10</w:t>
            </w:r>
          </w:p>
        </w:tc>
        <w:tc>
          <w:tcPr>
            <w:tcW w:w="1203"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1360" w:type="dxa"/>
            <w:vMerge w:val="continue"/>
            <w:vAlign w:val="center"/>
          </w:tcPr>
          <w:p>
            <w:pPr>
              <w:jc w:val="center"/>
              <w:rPr>
                <w:rFonts w:hint="eastAsia" w:asciiTheme="majorEastAsia" w:hAnsiTheme="majorEastAsia" w:eastAsiaTheme="majorEastAsia" w:cstheme="majorEastAsia"/>
                <w:sz w:val="24"/>
                <w:szCs w:val="24"/>
                <w:vertAlign w:val="baseline"/>
                <w:lang w:val="en-US" w:eastAsia="zh-CN"/>
              </w:rPr>
            </w:pPr>
          </w:p>
        </w:tc>
        <w:tc>
          <w:tcPr>
            <w:tcW w:w="1536" w:type="dxa"/>
            <w:vMerge w:val="continue"/>
            <w:vAlign w:val="center"/>
          </w:tcPr>
          <w:p>
            <w:pPr>
              <w:jc w:val="center"/>
              <w:rPr>
                <w:rFonts w:hint="eastAsia" w:asciiTheme="majorEastAsia" w:hAnsiTheme="majorEastAsia" w:eastAsiaTheme="majorEastAsia" w:cstheme="majorEastAsia"/>
                <w:sz w:val="24"/>
                <w:szCs w:val="24"/>
                <w:vertAlign w:val="baseline"/>
                <w:lang w:val="en-US" w:eastAsia="zh-CN"/>
              </w:rPr>
            </w:pPr>
          </w:p>
        </w:tc>
        <w:tc>
          <w:tcPr>
            <w:tcW w:w="1546" w:type="dxa"/>
            <w:vMerge w:val="continue"/>
            <w:vAlign w:val="center"/>
          </w:tcPr>
          <w:p>
            <w:pPr>
              <w:jc w:val="center"/>
              <w:rPr>
                <w:rFonts w:hint="eastAsia" w:asciiTheme="majorEastAsia" w:hAnsiTheme="majorEastAsia" w:eastAsiaTheme="majorEastAsia" w:cstheme="majorEastAsia"/>
                <w:sz w:val="24"/>
                <w:szCs w:val="24"/>
                <w:vertAlign w:val="baseline"/>
                <w:lang w:val="en-US" w:eastAsia="zh-CN"/>
              </w:rPr>
            </w:pPr>
          </w:p>
        </w:tc>
        <w:tc>
          <w:tcPr>
            <w:tcW w:w="7555" w:type="dxa"/>
            <w:vAlign w:val="center"/>
          </w:tcPr>
          <w:p>
            <w:pPr>
              <w:snapToGrid w:val="0"/>
              <w:spacing w:line="300" w:lineRule="auto"/>
              <w:ind w:left="0" w:leftChars="0" w:firstLine="0" w:firstLineChars="0"/>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近三年学校年均信息化建设总投入经费不少于学校预算开支经费的2%（统计口径覆盖专职技术支撑部门、学院系所及行政管理部门）。</w:t>
            </w:r>
          </w:p>
        </w:tc>
        <w:tc>
          <w:tcPr>
            <w:tcW w:w="856"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10</w:t>
            </w:r>
          </w:p>
        </w:tc>
        <w:tc>
          <w:tcPr>
            <w:tcW w:w="1203"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360" w:type="dxa"/>
            <w:vMerge w:val="restart"/>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bCs/>
                <w:sz w:val="24"/>
                <w:szCs w:val="24"/>
              </w:rPr>
              <w:t>特色与创新</w:t>
            </w:r>
          </w:p>
        </w:tc>
        <w:tc>
          <w:tcPr>
            <w:tcW w:w="1536"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技术应用创新</w:t>
            </w:r>
          </w:p>
        </w:tc>
        <w:tc>
          <w:tcPr>
            <w:tcW w:w="9101" w:type="dxa"/>
            <w:gridSpan w:val="2"/>
            <w:vAlign w:val="center"/>
          </w:tcPr>
          <w:p>
            <w:pPr>
              <w:snapToGrid w:val="0"/>
              <w:spacing w:line="300" w:lineRule="auto"/>
              <w:ind w:left="0" w:leftChars="0" w:firstLine="0" w:firstLineChars="0"/>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信息技术与校务治理、教育教学、师生服务、产业创新等业务深度融合的创新应用。</w:t>
            </w:r>
          </w:p>
        </w:tc>
        <w:tc>
          <w:tcPr>
            <w:tcW w:w="856"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50</w:t>
            </w:r>
          </w:p>
        </w:tc>
        <w:tc>
          <w:tcPr>
            <w:tcW w:w="1203"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1360" w:type="dxa"/>
            <w:vMerge w:val="continue"/>
            <w:vAlign w:val="center"/>
          </w:tcPr>
          <w:p>
            <w:pPr>
              <w:snapToGrid w:val="0"/>
              <w:spacing w:line="300" w:lineRule="auto"/>
              <w:jc w:val="center"/>
              <w:rPr>
                <w:rFonts w:hint="eastAsia" w:asciiTheme="majorEastAsia" w:hAnsiTheme="majorEastAsia" w:eastAsiaTheme="majorEastAsia" w:cstheme="majorEastAsia"/>
                <w:kern w:val="2"/>
                <w:sz w:val="24"/>
                <w:szCs w:val="24"/>
                <w:vertAlign w:val="baseline"/>
                <w:lang w:val="en-US" w:eastAsia="zh-CN" w:bidi="ar-SA"/>
              </w:rPr>
            </w:pPr>
          </w:p>
        </w:tc>
        <w:tc>
          <w:tcPr>
            <w:tcW w:w="1536"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体制机制创新</w:t>
            </w:r>
          </w:p>
        </w:tc>
        <w:tc>
          <w:tcPr>
            <w:tcW w:w="9101" w:type="dxa"/>
            <w:gridSpan w:val="2"/>
            <w:vAlign w:val="center"/>
          </w:tcPr>
          <w:p>
            <w:pPr>
              <w:snapToGrid w:val="0"/>
              <w:spacing w:line="300" w:lineRule="auto"/>
              <w:ind w:left="0" w:leftChars="0" w:firstLine="0" w:firstLineChars="0"/>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信息化建设模式、建设机制、管理体制等创新举措及突出成效。</w:t>
            </w:r>
          </w:p>
        </w:tc>
        <w:tc>
          <w:tcPr>
            <w:tcW w:w="856" w:type="dxa"/>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sz w:val="24"/>
                <w:szCs w:val="24"/>
              </w:rPr>
              <w:t>50</w:t>
            </w:r>
          </w:p>
        </w:tc>
        <w:tc>
          <w:tcPr>
            <w:tcW w:w="1203" w:type="dxa"/>
            <w:vAlign w:val="center"/>
          </w:tcPr>
          <w:p>
            <w:pPr>
              <w:jc w:val="center"/>
              <w:rPr>
                <w:rFonts w:hint="eastAsia" w:asciiTheme="majorEastAsia" w:hAnsiTheme="majorEastAsia" w:eastAsiaTheme="majorEastAsia" w:cstheme="majorEastAsia"/>
                <w:sz w:val="24"/>
                <w:szCs w:val="24"/>
                <w:vertAlign w:val="baseline"/>
                <w:lang w:val="en-US" w:eastAsia="zh-CN"/>
              </w:rPr>
            </w:pPr>
          </w:p>
        </w:tc>
      </w:tr>
    </w:tbl>
    <w:p>
      <w:pPr>
        <w:jc w:val="center"/>
        <w:rPr>
          <w:rFonts w:hint="eastAsia" w:ascii="方正小标宋简体" w:hAnsi="黑体" w:eastAsia="方正小标宋简体"/>
          <w:sz w:val="36"/>
          <w:szCs w:val="36"/>
          <w:lang w:val="en-US" w:eastAsia="zh-CN"/>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964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560" w:firstLineChars="200"/>
      <w:jc w:val="both"/>
    </w:pPr>
    <w:rPr>
      <w:rFonts w:ascii="仿宋" w:hAnsi="仿宋" w:eastAsia="仿宋" w:cs="Times New Roman"/>
      <w:kern w:val="2"/>
      <w:sz w:val="28"/>
      <w:szCs w:val="28"/>
      <w:lang w:val="zh-CN"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Char"/>
    <w:basedOn w:val="3"/>
    <w:qFormat/>
    <w:uiPriority w:val="0"/>
    <w:pPr>
      <w:spacing w:line="240" w:lineRule="atLeast"/>
      <w:ind w:left="420" w:firstLine="420"/>
    </w:pPr>
    <w:rPr>
      <w:szCs w:val="21"/>
    </w:rPr>
  </w:style>
  <w:style w:type="paragraph" w:styleId="3">
    <w:name w:val="Document Map"/>
    <w:basedOn w:val="1"/>
    <w:semiHidden/>
    <w:qFormat/>
    <w:uiPriority w:val="0"/>
    <w:pPr>
      <w:shd w:val="clear" w:color="auto" w:fill="000080"/>
    </w:p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2020-05-28T03:36:45Z</dcterms:created>
  <dc:creator>Administrator</dc:creator>
  <cp:lastModifiedBy>Scar</cp:lastModifiedBy>
  <dcterms:modified xsi:type="dcterms:W3CDTF">2020-05-28T03:36:48Z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