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高校智慧校园建设评价指标体系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宣传部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tbl>
      <w:tblPr>
        <w:tblStyle w:val="5"/>
        <w:tblpPr w:leftFromText="180" w:rightFromText="180" w:vertAnchor="text" w:horzAnchor="page" w:tblpX="1476" w:tblpY="6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529"/>
        <w:gridCol w:w="1540"/>
        <w:gridCol w:w="7523"/>
        <w:gridCol w:w="853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5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一级指标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二级指标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三级指标</w:t>
            </w:r>
          </w:p>
        </w:tc>
        <w:tc>
          <w:tcPr>
            <w:tcW w:w="752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评价标准与主要观测点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35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智慧环境</w:t>
            </w: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基础平台</w:t>
            </w:r>
          </w:p>
        </w:tc>
        <w:tc>
          <w:tcPr>
            <w:tcW w:w="1540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网站群平台</w:t>
            </w:r>
          </w:p>
        </w:tc>
        <w:tc>
          <w:tcPr>
            <w:tcW w:w="752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  <w:t>建有统一标准、统一规范、统一技术架构的网站群，实现所有部门级网站的统一管理和维护。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354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特色与创新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技术应用创新</w:t>
            </w:r>
          </w:p>
        </w:tc>
        <w:tc>
          <w:tcPr>
            <w:tcW w:w="9063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信息技术与校务治理、教育教学、师生服务、产业创新等业务深度融合的创新应用。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354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体制机制创新</w:t>
            </w:r>
          </w:p>
        </w:tc>
        <w:tc>
          <w:tcPr>
            <w:tcW w:w="9063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信息化建设模式、建设机制、管理体制等创新举措及突出成效。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Times New Roman"/>
      <w:kern w:val="2"/>
      <w:sz w:val="28"/>
      <w:szCs w:val="28"/>
      <w:lang w:val="zh-CN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2020-05-28T03:39:37Z</dcterms:created>
  <dc:creator>Administrator</dc:creator>
  <cp:lastModifiedBy>Scar</cp:lastModifiedBy>
  <dcterms:modified xsi:type="dcterms:W3CDTF">2020-05-28T03:39:41Z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